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b w:val="1"/>
          <w:color w:val="9900ff"/>
          <w:sz w:val="32"/>
          <w:szCs w:val="32"/>
        </w:rPr>
      </w:pPr>
      <w:r w:rsidDel="00000000" w:rsidR="00000000" w:rsidRPr="00000000">
        <w:rPr>
          <w:rFonts w:ascii="Muli" w:cs="Muli" w:eastAsia="Muli" w:hAnsi="Muli"/>
          <w:b w:val="1"/>
          <w:color w:val="9900ff"/>
          <w:sz w:val="32"/>
          <w:szCs w:val="32"/>
          <w:rtl w:val="0"/>
        </w:rPr>
        <w:t xml:space="preserve">Postura de Cabify respecto al tema de </w:t>
      </w:r>
      <w:r w:rsidDel="00000000" w:rsidR="00000000" w:rsidRPr="00000000">
        <w:rPr>
          <w:rFonts w:ascii="Muli" w:cs="Muli" w:eastAsia="Muli" w:hAnsi="Muli"/>
          <w:b w:val="1"/>
          <w:color w:val="9900ff"/>
          <w:sz w:val="32"/>
          <w:szCs w:val="32"/>
          <w:rtl w:val="0"/>
        </w:rPr>
        <w:t xml:space="preserve">operación</w:t>
      </w:r>
      <w:r w:rsidDel="00000000" w:rsidR="00000000" w:rsidRPr="00000000">
        <w:rPr>
          <w:rFonts w:ascii="Muli" w:cs="Muli" w:eastAsia="Muli" w:hAnsi="Muli"/>
          <w:b w:val="1"/>
          <w:color w:val="9900ff"/>
          <w:sz w:val="32"/>
          <w:szCs w:val="32"/>
          <w:rtl w:val="0"/>
        </w:rPr>
        <w:t xml:space="preserve"> de Empresas de Redes de Transporte en aeropuertos</w:t>
      </w:r>
    </w:p>
    <w:p w:rsidR="00000000" w:rsidDel="00000000" w:rsidP="00000000" w:rsidRDefault="00000000" w:rsidRPr="00000000" w14:paraId="00000002">
      <w:pPr>
        <w:spacing w:after="200" w:lineRule="auto"/>
        <w:jc w:val="both"/>
        <w:rPr/>
      </w:pPr>
      <w:r w:rsidDel="00000000" w:rsidR="00000000" w:rsidRPr="00000000">
        <w:rPr>
          <w:rtl w:val="0"/>
        </w:rPr>
      </w:r>
    </w:p>
    <w:p w:rsidR="00000000" w:rsidDel="00000000" w:rsidP="00000000" w:rsidRDefault="00000000" w:rsidRPr="00000000" w14:paraId="00000003">
      <w:pPr>
        <w:spacing w:after="200" w:lineRule="auto"/>
        <w:jc w:val="both"/>
        <w:rPr>
          <w:rFonts w:ascii="Muli" w:cs="Muli" w:eastAsia="Muli" w:hAnsi="Muli"/>
        </w:rPr>
      </w:pPr>
      <w:r w:rsidDel="00000000" w:rsidR="00000000" w:rsidRPr="00000000">
        <w:rPr>
          <w:rFonts w:ascii="Muli" w:cs="Muli" w:eastAsia="Muli" w:hAnsi="Muli"/>
          <w:rtl w:val="0"/>
        </w:rPr>
        <w:t xml:space="preserve">A raíz de </w:t>
      </w:r>
      <w:r w:rsidDel="00000000" w:rsidR="00000000" w:rsidRPr="00000000">
        <w:rPr>
          <w:rFonts w:ascii="Muli" w:cs="Muli" w:eastAsia="Muli" w:hAnsi="Muli"/>
          <w:rtl w:val="0"/>
        </w:rPr>
        <w:t xml:space="preserve">los comentarios </w:t>
      </w:r>
      <w:r w:rsidDel="00000000" w:rsidR="00000000" w:rsidRPr="00000000">
        <w:rPr>
          <w:rFonts w:ascii="Muli" w:cs="Muli" w:eastAsia="Muli" w:hAnsi="Muli"/>
          <w:highlight w:val="white"/>
          <w:rtl w:val="0"/>
        </w:rPr>
        <w:t xml:space="preserve">sobre los permisos de operación de las Empresas de Redes de Transporte en los aeropuertos del país y áreas de jurisdicción federal,</w:t>
      </w:r>
      <w:r w:rsidDel="00000000" w:rsidR="00000000" w:rsidRPr="00000000">
        <w:rPr>
          <w:rFonts w:ascii="Muli" w:cs="Muli" w:eastAsia="Muli" w:hAnsi="Muli"/>
          <w:rtl w:val="0"/>
        </w:rPr>
        <w:t xml:space="preserve"> en los que se ha mencionado la participación de la Guardia Nacional para realizar operativos de revisión a las plataformas de transporte, en Cabify expresamos nuestro agradecimiento a la Secretaría de Gobernación y al Subsecretario de Gobierno, Ricardo Peralta - con quien hemos tenido buenas mesas de diálogo - por realizar las aclaraciones pertinentes respecto al tema. Apreciamos también las consideraciones que han tenido diversas dependencias federales como la propia SEGOB, la SHCP, la SCT y la SEDATU para generar un marco jurídico más moderno y eficiente en materia de movilidad, propiciando también la armonización </w:t>
      </w:r>
      <w:r w:rsidDel="00000000" w:rsidR="00000000" w:rsidRPr="00000000">
        <w:rPr>
          <w:rFonts w:ascii="Muli" w:cs="Muli" w:eastAsia="Muli" w:hAnsi="Muli"/>
          <w:highlight w:val="white"/>
          <w:rtl w:val="0"/>
        </w:rPr>
        <w:t xml:space="preserve">legislativa</w:t>
      </w:r>
      <w:r w:rsidDel="00000000" w:rsidR="00000000" w:rsidRPr="00000000">
        <w:rPr>
          <w:rFonts w:ascii="Muli" w:cs="Muli" w:eastAsia="Muli" w:hAnsi="Muli"/>
          <w:rtl w:val="0"/>
        </w:rPr>
        <w:t xml:space="preserve"> al interior de las entidades para que, tanto los pasajeros, como los conductores que se benefician de las plataformas, puedan continuar aprovechándolas con una mayor certeza jurídica. </w:t>
      </w:r>
    </w:p>
    <w:p w:rsidR="00000000" w:rsidDel="00000000" w:rsidP="00000000" w:rsidRDefault="00000000" w:rsidRPr="00000000" w14:paraId="00000004">
      <w:pPr>
        <w:spacing w:after="200" w:lineRule="auto"/>
        <w:jc w:val="both"/>
        <w:rPr>
          <w:rFonts w:ascii="Muli" w:cs="Muli" w:eastAsia="Muli" w:hAnsi="Muli"/>
        </w:rPr>
      </w:pPr>
      <w:r w:rsidDel="00000000" w:rsidR="00000000" w:rsidRPr="00000000">
        <w:rPr>
          <w:rFonts w:ascii="Muli" w:cs="Muli" w:eastAsia="Muli" w:hAnsi="Muli"/>
          <w:rtl w:val="0"/>
        </w:rPr>
        <w:t xml:space="preserve">Esto es particularmente importante en situaciones en las cuales la tecnología, la eficiencia y las preferencias de los consumidores se han adelantado a la capacidad de los congresos para legislar al respecto, tales como en el caso de los aeropuertos. En diálogos anteriores autoridades federales, nos hemos expresado a  favor de que el servicio de las plataformas se encuentre expresamente tipificado en la </w:t>
      </w:r>
      <w:hyperlink r:id="rId6">
        <w:r w:rsidDel="00000000" w:rsidR="00000000" w:rsidRPr="00000000">
          <w:rPr>
            <w:rFonts w:ascii="Muli" w:cs="Muli" w:eastAsia="Muli" w:hAnsi="Muli"/>
            <w:color w:val="1155cc"/>
            <w:u w:val="single"/>
            <w:rtl w:val="0"/>
          </w:rPr>
          <w:t xml:space="preserve">Ley De Caminos, Puentes y Autotransporte Federal</w:t>
        </w:r>
      </w:hyperlink>
      <w:r w:rsidDel="00000000" w:rsidR="00000000" w:rsidRPr="00000000">
        <w:rPr>
          <w:rFonts w:ascii="Muli" w:cs="Muli" w:eastAsia="Muli" w:hAnsi="Muli"/>
          <w:rtl w:val="0"/>
        </w:rPr>
        <w:t xml:space="preserve">. </w:t>
      </w:r>
    </w:p>
    <w:p w:rsidR="00000000" w:rsidDel="00000000" w:rsidP="00000000" w:rsidRDefault="00000000" w:rsidRPr="00000000" w14:paraId="00000005">
      <w:pPr>
        <w:spacing w:after="200" w:lineRule="auto"/>
        <w:jc w:val="both"/>
        <w:rPr>
          <w:rFonts w:ascii="Muli" w:cs="Muli" w:eastAsia="Muli" w:hAnsi="Muli"/>
        </w:rPr>
      </w:pPr>
      <w:r w:rsidDel="00000000" w:rsidR="00000000" w:rsidRPr="00000000">
        <w:rPr>
          <w:rFonts w:ascii="Muli" w:cs="Muli" w:eastAsia="Muli" w:hAnsi="Muli"/>
          <w:rtl w:val="0"/>
        </w:rPr>
        <w:t xml:space="preserve">En Cabify, reiteramos nuestra disposición al diálogo y trabajo conjunto con autoridades y  actores de la industria para la construcción de un ecosistema de transporte y movilidad en el que quepamos todos los servicios y formemos un sistema integral apoyado por la tecnología, donde el</w:t>
      </w:r>
      <w:r w:rsidDel="00000000" w:rsidR="00000000" w:rsidRPr="00000000">
        <w:rPr>
          <w:rFonts w:ascii="Muli" w:cs="Muli" w:eastAsia="Muli" w:hAnsi="Muli"/>
          <w:rtl w:val="0"/>
        </w:rPr>
        <w:t xml:space="preserve"> usuario sea libre de elegir la opción que mejor se adapte a sus necesidades de desplazamiento y, que al mismo tiempo, le genere una mayor confianza y seguridad tanto para viajar como para ofertar servicios de transporte.</w:t>
      </w:r>
    </w:p>
    <w:p w:rsidR="00000000" w:rsidDel="00000000" w:rsidP="00000000" w:rsidRDefault="00000000" w:rsidRPr="00000000" w14:paraId="00000006">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07">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08">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09">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0A">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0B">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4762500</wp:posOffset>
          </wp:positionH>
          <wp:positionV relativeFrom="paragraph">
            <wp:posOffset>-247649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iputados.gob.mx/LeyesBiblio/pdf/27_250618.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